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E8" w:rsidRPr="00953CEF" w:rsidRDefault="00953CEF" w:rsidP="005A1E6C">
      <w:pPr>
        <w:jc w:val="center"/>
        <w:rPr>
          <w:sz w:val="22"/>
          <w:szCs w:val="22"/>
        </w:rPr>
      </w:pPr>
      <w:r w:rsidRPr="00953CEF">
        <w:rPr>
          <w:b/>
          <w:noProof/>
          <w:sz w:val="22"/>
          <w:szCs w:val="22"/>
        </w:rPr>
        <w:drawing>
          <wp:anchor distT="0" distB="0" distL="114300" distR="114300" simplePos="0" relativeHeight="251658240" behindDoc="0" locked="0" layoutInCell="1" allowOverlap="1" wp14:anchorId="5A1B26D4" wp14:editId="5EAD7312">
            <wp:simplePos x="0" y="0"/>
            <wp:positionH relativeFrom="margin">
              <wp:posOffset>-139700</wp:posOffset>
            </wp:positionH>
            <wp:positionV relativeFrom="margin">
              <wp:posOffset>-565150</wp:posOffset>
            </wp:positionV>
            <wp:extent cx="1333500" cy="925195"/>
            <wp:effectExtent l="0" t="0" r="0" b="0"/>
            <wp:wrapSquare wrapText="bothSides"/>
            <wp:docPr id="2" name="Picture 0" descr="Cal Ag Work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l Ag Workers Logo.JPG"/>
                    <pic:cNvPicPr>
                      <a:picLocks noChangeAspect="1" noChangeArrowheads="1"/>
                    </pic:cNvPicPr>
                  </pic:nvPicPr>
                  <pic:blipFill>
                    <a:blip r:embed="rId9" cstate="print"/>
                    <a:srcRect/>
                    <a:stretch>
                      <a:fillRect/>
                    </a:stretch>
                  </pic:blipFill>
                  <pic:spPr bwMode="auto">
                    <a:xfrm>
                      <a:off x="0" y="0"/>
                      <a:ext cx="1333500" cy="925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4331" w:rsidRPr="00953CEF">
        <w:rPr>
          <w:b/>
          <w:sz w:val="22"/>
          <w:szCs w:val="22"/>
        </w:rPr>
        <w:t xml:space="preserve">Health </w:t>
      </w:r>
      <w:r w:rsidR="00A177E8" w:rsidRPr="00953CEF">
        <w:rPr>
          <w:b/>
          <w:sz w:val="22"/>
          <w:szCs w:val="22"/>
        </w:rPr>
        <w:t xml:space="preserve">Coverage for California Farm Workers </w:t>
      </w:r>
    </w:p>
    <w:p w:rsidR="005A1E6C" w:rsidRPr="00953CEF" w:rsidRDefault="005A1E6C" w:rsidP="00A177E8">
      <w:pPr>
        <w:rPr>
          <w:sz w:val="22"/>
          <w:szCs w:val="22"/>
        </w:rPr>
      </w:pPr>
    </w:p>
    <w:p w:rsidR="00D84331" w:rsidRPr="00953CEF" w:rsidRDefault="00D84331" w:rsidP="00A177E8">
      <w:pPr>
        <w:rPr>
          <w:sz w:val="22"/>
          <w:szCs w:val="22"/>
        </w:rPr>
      </w:pPr>
    </w:p>
    <w:p w:rsidR="004B1A1F" w:rsidRDefault="004B1A1F" w:rsidP="00A177E8">
      <w:pPr>
        <w:rPr>
          <w:b/>
          <w:sz w:val="22"/>
          <w:szCs w:val="22"/>
        </w:rPr>
      </w:pPr>
    </w:p>
    <w:p w:rsidR="005A1E6C" w:rsidRPr="00953CEF" w:rsidRDefault="00A177E8" w:rsidP="00A177E8">
      <w:pPr>
        <w:rPr>
          <w:b/>
          <w:sz w:val="22"/>
          <w:szCs w:val="22"/>
        </w:rPr>
      </w:pPr>
      <w:r w:rsidRPr="00953CEF">
        <w:rPr>
          <w:b/>
          <w:sz w:val="22"/>
          <w:szCs w:val="22"/>
        </w:rPr>
        <w:t xml:space="preserve">I. </w:t>
      </w:r>
      <w:r w:rsidR="00EF1B64" w:rsidRPr="00953CEF">
        <w:rPr>
          <w:b/>
          <w:sz w:val="22"/>
          <w:szCs w:val="22"/>
        </w:rPr>
        <w:t>Demographics and current c</w:t>
      </w:r>
      <w:r w:rsidRPr="00953CEF">
        <w:rPr>
          <w:b/>
          <w:bCs/>
          <w:sz w:val="22"/>
          <w:szCs w:val="22"/>
        </w:rPr>
        <w:t>overage</w:t>
      </w:r>
      <w:r w:rsidRPr="00953CEF">
        <w:rPr>
          <w:b/>
          <w:sz w:val="22"/>
          <w:szCs w:val="22"/>
        </w:rPr>
        <w:t xml:space="preserve"> </w:t>
      </w:r>
    </w:p>
    <w:p w:rsidR="00991413" w:rsidRPr="00953CEF" w:rsidRDefault="00991413" w:rsidP="00EF1B64">
      <w:pPr>
        <w:pStyle w:val="ListParagraph"/>
        <w:numPr>
          <w:ilvl w:val="0"/>
          <w:numId w:val="2"/>
        </w:numPr>
        <w:rPr>
          <w:sz w:val="22"/>
          <w:szCs w:val="22"/>
        </w:rPr>
      </w:pPr>
      <w:r w:rsidRPr="00953CEF">
        <w:rPr>
          <w:sz w:val="22"/>
          <w:szCs w:val="22"/>
        </w:rPr>
        <w:t>Agriculture is a $45 billion industry in California, the largest in the nation.</w:t>
      </w:r>
    </w:p>
    <w:p w:rsidR="00991413" w:rsidRPr="00953CEF" w:rsidRDefault="002D4AA0" w:rsidP="00991413">
      <w:pPr>
        <w:pStyle w:val="ListParagraph"/>
        <w:numPr>
          <w:ilvl w:val="0"/>
          <w:numId w:val="2"/>
        </w:numPr>
        <w:rPr>
          <w:sz w:val="22"/>
          <w:szCs w:val="22"/>
        </w:rPr>
      </w:pPr>
      <w:r w:rsidRPr="00953CEF">
        <w:rPr>
          <w:sz w:val="22"/>
          <w:szCs w:val="22"/>
        </w:rPr>
        <w:t>There are a</w:t>
      </w:r>
      <w:r w:rsidR="00991413" w:rsidRPr="00953CEF">
        <w:rPr>
          <w:sz w:val="22"/>
          <w:szCs w:val="22"/>
        </w:rPr>
        <w:t xml:space="preserve">pproximately 1 million Californians in farmworker families. </w:t>
      </w:r>
    </w:p>
    <w:p w:rsidR="00EF1B64" w:rsidRPr="00953CEF" w:rsidRDefault="00EF1B64" w:rsidP="00EF1B64">
      <w:pPr>
        <w:pStyle w:val="ListParagraph"/>
        <w:numPr>
          <w:ilvl w:val="0"/>
          <w:numId w:val="2"/>
        </w:numPr>
        <w:rPr>
          <w:sz w:val="22"/>
          <w:szCs w:val="22"/>
        </w:rPr>
      </w:pPr>
      <w:r w:rsidRPr="00953CEF">
        <w:rPr>
          <w:sz w:val="22"/>
          <w:szCs w:val="22"/>
        </w:rPr>
        <w:t xml:space="preserve">Approximately 60 to 80 percent of farmworkers are not authorized to work in US. </w:t>
      </w:r>
    </w:p>
    <w:p w:rsidR="00D84331" w:rsidRPr="00953CEF" w:rsidRDefault="00D84331" w:rsidP="00EF1B64">
      <w:pPr>
        <w:pStyle w:val="ListParagraph"/>
        <w:numPr>
          <w:ilvl w:val="0"/>
          <w:numId w:val="2"/>
        </w:numPr>
        <w:rPr>
          <w:sz w:val="22"/>
          <w:szCs w:val="22"/>
        </w:rPr>
      </w:pPr>
      <w:r w:rsidRPr="00953CEF">
        <w:rPr>
          <w:sz w:val="22"/>
          <w:szCs w:val="22"/>
        </w:rPr>
        <w:t xml:space="preserve">Fewer than 20 percent of farmworkers currently receive employer provided health benefits. </w:t>
      </w:r>
    </w:p>
    <w:p w:rsidR="004156B7" w:rsidRPr="00953CEF" w:rsidRDefault="00D84331" w:rsidP="00EF1B64">
      <w:pPr>
        <w:pStyle w:val="ListParagraph"/>
        <w:numPr>
          <w:ilvl w:val="1"/>
          <w:numId w:val="2"/>
        </w:numPr>
        <w:rPr>
          <w:sz w:val="22"/>
          <w:szCs w:val="22"/>
        </w:rPr>
      </w:pPr>
      <w:r w:rsidRPr="00953CEF">
        <w:rPr>
          <w:sz w:val="22"/>
          <w:szCs w:val="22"/>
        </w:rPr>
        <w:t>The Ag plans have been operating under waivers that allowed them to provide coverage with capped benefits. These waivers expire in 2014.</w:t>
      </w:r>
    </w:p>
    <w:p w:rsidR="00553F68" w:rsidRPr="00953CEF" w:rsidRDefault="00553F68" w:rsidP="00EF1B64">
      <w:pPr>
        <w:pStyle w:val="ListParagraph"/>
        <w:numPr>
          <w:ilvl w:val="1"/>
          <w:numId w:val="2"/>
        </w:numPr>
        <w:rPr>
          <w:sz w:val="22"/>
          <w:szCs w:val="22"/>
        </w:rPr>
      </w:pPr>
      <w:r w:rsidRPr="00953CEF">
        <w:rPr>
          <w:sz w:val="22"/>
          <w:szCs w:val="22"/>
        </w:rPr>
        <w:t xml:space="preserve">Collectively, the Taft-Hartley and MEWA plans in California cover no more than 100,000 lives including dependents. There are additional </w:t>
      </w:r>
      <w:r w:rsidR="00953CEF">
        <w:rPr>
          <w:sz w:val="22"/>
          <w:szCs w:val="22"/>
        </w:rPr>
        <w:t xml:space="preserve">employer </w:t>
      </w:r>
      <w:r w:rsidRPr="00953CEF">
        <w:rPr>
          <w:sz w:val="22"/>
          <w:szCs w:val="22"/>
        </w:rPr>
        <w:t>self-funded</w:t>
      </w:r>
      <w:r w:rsidR="009556E5">
        <w:rPr>
          <w:sz w:val="22"/>
          <w:szCs w:val="22"/>
        </w:rPr>
        <w:t xml:space="preserve"> plans</w:t>
      </w:r>
      <w:r w:rsidRPr="00953CEF">
        <w:rPr>
          <w:sz w:val="22"/>
          <w:szCs w:val="22"/>
        </w:rPr>
        <w:t>.</w:t>
      </w:r>
    </w:p>
    <w:p w:rsidR="0051507D" w:rsidRPr="00953CEF" w:rsidRDefault="0051507D" w:rsidP="00EF1B64">
      <w:pPr>
        <w:rPr>
          <w:b/>
          <w:sz w:val="22"/>
          <w:szCs w:val="22"/>
        </w:rPr>
      </w:pPr>
    </w:p>
    <w:p w:rsidR="00EF1B64" w:rsidRPr="00953CEF" w:rsidRDefault="00EF1B64" w:rsidP="00EF1B64">
      <w:pPr>
        <w:rPr>
          <w:b/>
          <w:sz w:val="22"/>
          <w:szCs w:val="22"/>
        </w:rPr>
      </w:pPr>
      <w:r w:rsidRPr="00953CEF">
        <w:rPr>
          <w:b/>
          <w:sz w:val="22"/>
          <w:szCs w:val="22"/>
        </w:rPr>
        <w:t>II. C</w:t>
      </w:r>
      <w:r w:rsidRPr="00953CEF">
        <w:rPr>
          <w:b/>
          <w:bCs/>
          <w:sz w:val="22"/>
          <w:szCs w:val="22"/>
        </w:rPr>
        <w:t>overage options under A</w:t>
      </w:r>
      <w:r w:rsidR="00100590">
        <w:rPr>
          <w:b/>
          <w:bCs/>
          <w:sz w:val="22"/>
          <w:szCs w:val="22"/>
        </w:rPr>
        <w:t>ffordable Care Act</w:t>
      </w:r>
    </w:p>
    <w:p w:rsidR="004156B7" w:rsidRPr="00953CEF" w:rsidRDefault="00D84331" w:rsidP="00EF1B64">
      <w:pPr>
        <w:pStyle w:val="ListParagraph"/>
        <w:numPr>
          <w:ilvl w:val="0"/>
          <w:numId w:val="1"/>
        </w:numPr>
        <w:rPr>
          <w:sz w:val="22"/>
          <w:szCs w:val="22"/>
        </w:rPr>
      </w:pPr>
      <w:r w:rsidRPr="00953CEF">
        <w:rPr>
          <w:sz w:val="22"/>
          <w:szCs w:val="22"/>
        </w:rPr>
        <w:t xml:space="preserve">Employer provided coverage: </w:t>
      </w:r>
    </w:p>
    <w:p w:rsidR="004156B7" w:rsidRPr="00953CEF" w:rsidRDefault="00953CEF" w:rsidP="00953CEF">
      <w:pPr>
        <w:pStyle w:val="ListParagraph"/>
        <w:numPr>
          <w:ilvl w:val="1"/>
          <w:numId w:val="1"/>
        </w:numPr>
        <w:rPr>
          <w:sz w:val="22"/>
          <w:szCs w:val="22"/>
        </w:rPr>
      </w:pPr>
      <w:r>
        <w:rPr>
          <w:sz w:val="22"/>
          <w:szCs w:val="22"/>
        </w:rPr>
        <w:t>Beginning 2015, f</w:t>
      </w:r>
      <w:r w:rsidR="00D84331" w:rsidRPr="00953CEF">
        <w:rPr>
          <w:sz w:val="22"/>
          <w:szCs w:val="22"/>
        </w:rPr>
        <w:t xml:space="preserve">or </w:t>
      </w:r>
      <w:r w:rsidR="002148E8">
        <w:rPr>
          <w:sz w:val="22"/>
          <w:szCs w:val="22"/>
        </w:rPr>
        <w:t xml:space="preserve">full-time </w:t>
      </w:r>
      <w:r w:rsidR="00D84331" w:rsidRPr="00953CEF">
        <w:rPr>
          <w:sz w:val="22"/>
          <w:szCs w:val="22"/>
        </w:rPr>
        <w:t>farmworkers that are employed by “large employers”</w:t>
      </w:r>
      <w:r w:rsidR="004156B7" w:rsidRPr="00953CEF">
        <w:rPr>
          <w:sz w:val="22"/>
          <w:szCs w:val="22"/>
        </w:rPr>
        <w:t xml:space="preserve">. </w:t>
      </w:r>
    </w:p>
    <w:p w:rsidR="00D84331" w:rsidRPr="00953CEF" w:rsidRDefault="004156B7" w:rsidP="00953CEF">
      <w:pPr>
        <w:pStyle w:val="ListParagraph"/>
        <w:numPr>
          <w:ilvl w:val="1"/>
          <w:numId w:val="1"/>
        </w:numPr>
        <w:rPr>
          <w:sz w:val="22"/>
          <w:szCs w:val="22"/>
        </w:rPr>
      </w:pPr>
      <w:r w:rsidRPr="00953CEF">
        <w:rPr>
          <w:sz w:val="22"/>
          <w:szCs w:val="22"/>
        </w:rPr>
        <w:t xml:space="preserve">Seasonal workers are covered, but only after they meet any </w:t>
      </w:r>
      <w:r w:rsidR="00953CEF">
        <w:rPr>
          <w:sz w:val="22"/>
          <w:szCs w:val="22"/>
        </w:rPr>
        <w:t xml:space="preserve">60 day </w:t>
      </w:r>
      <w:r w:rsidRPr="00953CEF">
        <w:rPr>
          <w:sz w:val="22"/>
          <w:szCs w:val="22"/>
        </w:rPr>
        <w:t>waiting period.</w:t>
      </w:r>
    </w:p>
    <w:p w:rsidR="004156B7" w:rsidRPr="00953CEF" w:rsidRDefault="004156B7" w:rsidP="00953CEF">
      <w:pPr>
        <w:pStyle w:val="ListParagraph"/>
        <w:numPr>
          <w:ilvl w:val="1"/>
          <w:numId w:val="1"/>
        </w:numPr>
        <w:rPr>
          <w:sz w:val="22"/>
          <w:szCs w:val="22"/>
        </w:rPr>
      </w:pPr>
      <w:r w:rsidRPr="00953CEF">
        <w:rPr>
          <w:sz w:val="22"/>
          <w:szCs w:val="22"/>
        </w:rPr>
        <w:t xml:space="preserve">Employers </w:t>
      </w:r>
      <w:r w:rsidR="002D4AA0" w:rsidRPr="00953CEF">
        <w:rPr>
          <w:sz w:val="22"/>
          <w:szCs w:val="22"/>
        </w:rPr>
        <w:t xml:space="preserve">beginning to offer </w:t>
      </w:r>
      <w:r w:rsidRPr="00953CEF">
        <w:rPr>
          <w:sz w:val="22"/>
          <w:szCs w:val="22"/>
        </w:rPr>
        <w:t xml:space="preserve">“skinny” benefits that provide coverage </w:t>
      </w:r>
      <w:r w:rsidR="00486312" w:rsidRPr="00953CEF">
        <w:rPr>
          <w:sz w:val="22"/>
          <w:szCs w:val="22"/>
        </w:rPr>
        <w:t xml:space="preserve">only </w:t>
      </w:r>
      <w:r w:rsidRPr="00953CEF">
        <w:rPr>
          <w:sz w:val="22"/>
          <w:szCs w:val="22"/>
        </w:rPr>
        <w:t>for preventive services</w:t>
      </w:r>
      <w:r w:rsidR="002D4AA0" w:rsidRPr="00953CEF">
        <w:rPr>
          <w:sz w:val="22"/>
          <w:szCs w:val="22"/>
        </w:rPr>
        <w:t>, coupled with a high deductible bronze plan</w:t>
      </w:r>
      <w:r w:rsidRPr="00953CEF">
        <w:rPr>
          <w:sz w:val="22"/>
          <w:szCs w:val="22"/>
        </w:rPr>
        <w:t xml:space="preserve">. They may meet the “minimum essential coverage” requirement to help employers and employees avoid tax penalties. </w:t>
      </w:r>
    </w:p>
    <w:p w:rsidR="004156B7" w:rsidRPr="00953CEF" w:rsidRDefault="004156B7" w:rsidP="00EF1B64">
      <w:pPr>
        <w:pStyle w:val="ListParagraph"/>
        <w:numPr>
          <w:ilvl w:val="0"/>
          <w:numId w:val="1"/>
        </w:numPr>
        <w:rPr>
          <w:sz w:val="22"/>
          <w:szCs w:val="22"/>
        </w:rPr>
      </w:pPr>
      <w:r w:rsidRPr="00953CEF">
        <w:rPr>
          <w:sz w:val="22"/>
          <w:szCs w:val="22"/>
        </w:rPr>
        <w:t>Medi-Cal or Exchange subsidies for documented workers when not offered employer benefits.</w:t>
      </w:r>
    </w:p>
    <w:p w:rsidR="004156B7" w:rsidRPr="00953CEF" w:rsidRDefault="004156B7" w:rsidP="00EF1B64">
      <w:pPr>
        <w:pStyle w:val="ListParagraph"/>
        <w:numPr>
          <w:ilvl w:val="0"/>
          <w:numId w:val="1"/>
        </w:numPr>
        <w:rPr>
          <w:sz w:val="22"/>
          <w:szCs w:val="22"/>
        </w:rPr>
      </w:pPr>
      <w:r w:rsidRPr="00953CEF">
        <w:rPr>
          <w:sz w:val="22"/>
          <w:szCs w:val="22"/>
        </w:rPr>
        <w:t xml:space="preserve">Coverage by county indigent programs </w:t>
      </w:r>
      <w:r w:rsidR="00EF1B64" w:rsidRPr="00953CEF">
        <w:rPr>
          <w:sz w:val="22"/>
          <w:szCs w:val="22"/>
        </w:rPr>
        <w:t xml:space="preserve">in limited number of agricultural counties that provide </w:t>
      </w:r>
      <w:r w:rsidRPr="00953CEF">
        <w:rPr>
          <w:sz w:val="22"/>
          <w:szCs w:val="22"/>
        </w:rPr>
        <w:t xml:space="preserve">services </w:t>
      </w:r>
      <w:r w:rsidR="00EF1B64" w:rsidRPr="00953CEF">
        <w:rPr>
          <w:sz w:val="22"/>
          <w:szCs w:val="22"/>
        </w:rPr>
        <w:t xml:space="preserve">or </w:t>
      </w:r>
      <w:r w:rsidRPr="00953CEF">
        <w:rPr>
          <w:sz w:val="22"/>
          <w:szCs w:val="22"/>
        </w:rPr>
        <w:t>coverage for undocumented</w:t>
      </w:r>
      <w:r w:rsidR="00EF1B64" w:rsidRPr="00953CEF">
        <w:rPr>
          <w:sz w:val="22"/>
          <w:szCs w:val="22"/>
        </w:rPr>
        <w:t xml:space="preserve"> persons</w:t>
      </w:r>
      <w:r w:rsidR="00553F68" w:rsidRPr="00953CEF">
        <w:rPr>
          <w:sz w:val="22"/>
          <w:szCs w:val="22"/>
        </w:rPr>
        <w:t>.</w:t>
      </w:r>
    </w:p>
    <w:p w:rsidR="002D4AA0" w:rsidRPr="00953CEF" w:rsidRDefault="002D4AA0" w:rsidP="002D4AA0">
      <w:pPr>
        <w:pStyle w:val="ListParagraph"/>
        <w:numPr>
          <w:ilvl w:val="0"/>
          <w:numId w:val="1"/>
        </w:numPr>
        <w:rPr>
          <w:sz w:val="22"/>
          <w:szCs w:val="22"/>
        </w:rPr>
      </w:pPr>
      <w:r w:rsidRPr="00953CEF">
        <w:rPr>
          <w:sz w:val="22"/>
          <w:szCs w:val="22"/>
        </w:rPr>
        <w:t>Direct primary and preventive care provided by community and migrant health centers; emergency care at hospitals. (20% of farmworkers report having a medical visit at a clinic in past year.)</w:t>
      </w:r>
    </w:p>
    <w:p w:rsidR="00953CEF" w:rsidRPr="00953CEF" w:rsidRDefault="004156B7" w:rsidP="00A177E8">
      <w:pPr>
        <w:pStyle w:val="ListParagraph"/>
        <w:numPr>
          <w:ilvl w:val="0"/>
          <w:numId w:val="1"/>
        </w:numPr>
        <w:rPr>
          <w:b/>
          <w:sz w:val="22"/>
          <w:szCs w:val="22"/>
        </w:rPr>
      </w:pPr>
      <w:r w:rsidRPr="00953CEF">
        <w:rPr>
          <w:sz w:val="22"/>
          <w:szCs w:val="22"/>
        </w:rPr>
        <w:t xml:space="preserve">Direct primary care provided to workers by large growers (e.g. Reiter </w:t>
      </w:r>
      <w:r w:rsidR="00953CEF" w:rsidRPr="00953CEF">
        <w:rPr>
          <w:sz w:val="22"/>
          <w:szCs w:val="22"/>
        </w:rPr>
        <w:t>and Paramount</w:t>
      </w:r>
      <w:r w:rsidR="00953CEF">
        <w:rPr>
          <w:sz w:val="22"/>
          <w:szCs w:val="22"/>
        </w:rPr>
        <w:t>).</w:t>
      </w:r>
    </w:p>
    <w:p w:rsidR="00953CEF" w:rsidRPr="00953CEF" w:rsidRDefault="00953CEF" w:rsidP="00953CEF">
      <w:pPr>
        <w:pStyle w:val="ListParagraph"/>
        <w:rPr>
          <w:b/>
          <w:sz w:val="22"/>
          <w:szCs w:val="22"/>
        </w:rPr>
      </w:pPr>
    </w:p>
    <w:p w:rsidR="004156B7" w:rsidRPr="00953CEF" w:rsidRDefault="00991413" w:rsidP="00953CEF">
      <w:pPr>
        <w:rPr>
          <w:b/>
          <w:sz w:val="22"/>
          <w:szCs w:val="22"/>
        </w:rPr>
      </w:pPr>
      <w:r w:rsidRPr="00953CEF">
        <w:rPr>
          <w:b/>
          <w:sz w:val="22"/>
          <w:szCs w:val="22"/>
        </w:rPr>
        <w:t xml:space="preserve">III. </w:t>
      </w:r>
      <w:r w:rsidR="00953CEF">
        <w:rPr>
          <w:b/>
          <w:sz w:val="22"/>
          <w:szCs w:val="22"/>
        </w:rPr>
        <w:t>Challenges</w:t>
      </w:r>
    </w:p>
    <w:p w:rsidR="004156B7" w:rsidRPr="00953CEF" w:rsidRDefault="004156B7" w:rsidP="00991413">
      <w:pPr>
        <w:pStyle w:val="ListParagraph"/>
        <w:numPr>
          <w:ilvl w:val="0"/>
          <w:numId w:val="3"/>
        </w:numPr>
        <w:rPr>
          <w:sz w:val="22"/>
          <w:szCs w:val="22"/>
        </w:rPr>
      </w:pPr>
      <w:r w:rsidRPr="00953CEF">
        <w:rPr>
          <w:sz w:val="22"/>
          <w:szCs w:val="22"/>
        </w:rPr>
        <w:t>Coverage in the off-season</w:t>
      </w:r>
      <w:r w:rsidR="00991413" w:rsidRPr="00953CEF">
        <w:rPr>
          <w:sz w:val="22"/>
          <w:szCs w:val="22"/>
        </w:rPr>
        <w:t xml:space="preserve"> for those with employer coverage</w:t>
      </w:r>
      <w:r w:rsidRPr="00953CEF">
        <w:rPr>
          <w:sz w:val="22"/>
          <w:szCs w:val="22"/>
        </w:rPr>
        <w:t>.</w:t>
      </w:r>
    </w:p>
    <w:p w:rsidR="00EF1B64" w:rsidRPr="00953CEF" w:rsidRDefault="004156B7" w:rsidP="00991413">
      <w:pPr>
        <w:pStyle w:val="ListParagraph"/>
        <w:numPr>
          <w:ilvl w:val="0"/>
          <w:numId w:val="3"/>
        </w:numPr>
        <w:rPr>
          <w:sz w:val="22"/>
          <w:szCs w:val="22"/>
        </w:rPr>
      </w:pPr>
      <w:r w:rsidRPr="00953CEF">
        <w:rPr>
          <w:sz w:val="22"/>
          <w:szCs w:val="22"/>
        </w:rPr>
        <w:t>Affordability of</w:t>
      </w:r>
      <w:r w:rsidR="00EF1B64" w:rsidRPr="00953CEF">
        <w:rPr>
          <w:sz w:val="22"/>
          <w:szCs w:val="22"/>
        </w:rPr>
        <w:t xml:space="preserve"> employer provided</w:t>
      </w:r>
      <w:r w:rsidRPr="00953CEF">
        <w:rPr>
          <w:sz w:val="22"/>
          <w:szCs w:val="22"/>
        </w:rPr>
        <w:t xml:space="preserve"> “bronze” level or 60 </w:t>
      </w:r>
      <w:r w:rsidR="00EF1B64" w:rsidRPr="00953CEF">
        <w:rPr>
          <w:sz w:val="22"/>
          <w:szCs w:val="22"/>
        </w:rPr>
        <w:t xml:space="preserve">percent </w:t>
      </w:r>
      <w:r w:rsidRPr="00953CEF">
        <w:rPr>
          <w:sz w:val="22"/>
          <w:szCs w:val="22"/>
        </w:rPr>
        <w:t>actuarial value coverage</w:t>
      </w:r>
      <w:r w:rsidR="002D4AA0" w:rsidRPr="00953CEF">
        <w:rPr>
          <w:sz w:val="22"/>
          <w:szCs w:val="22"/>
        </w:rPr>
        <w:t xml:space="preserve"> due to </w:t>
      </w:r>
      <w:r w:rsidRPr="00953CEF">
        <w:rPr>
          <w:sz w:val="22"/>
          <w:szCs w:val="22"/>
        </w:rPr>
        <w:t>high deductibles and co-pays.</w:t>
      </w:r>
    </w:p>
    <w:p w:rsidR="00EF1B64" w:rsidRPr="00953CEF" w:rsidRDefault="00EF1B64" w:rsidP="00991413">
      <w:pPr>
        <w:pStyle w:val="ListParagraph"/>
        <w:numPr>
          <w:ilvl w:val="0"/>
          <w:numId w:val="3"/>
        </w:numPr>
        <w:rPr>
          <w:sz w:val="22"/>
          <w:szCs w:val="22"/>
        </w:rPr>
      </w:pPr>
      <w:r w:rsidRPr="00953CEF">
        <w:rPr>
          <w:sz w:val="22"/>
          <w:szCs w:val="22"/>
        </w:rPr>
        <w:t xml:space="preserve">Value of “skinny” plans that provide only minimum preventive services, but insulate employers from first level of “pay or play” penalties. </w:t>
      </w:r>
    </w:p>
    <w:p w:rsidR="00454603" w:rsidRPr="00953CEF" w:rsidRDefault="00953CEF" w:rsidP="00991413">
      <w:pPr>
        <w:pStyle w:val="ListParagraph"/>
        <w:numPr>
          <w:ilvl w:val="0"/>
          <w:numId w:val="3"/>
        </w:numPr>
        <w:rPr>
          <w:sz w:val="22"/>
          <w:szCs w:val="22"/>
        </w:rPr>
      </w:pPr>
      <w:r>
        <w:rPr>
          <w:sz w:val="22"/>
          <w:szCs w:val="22"/>
        </w:rPr>
        <w:t xml:space="preserve">No </w:t>
      </w:r>
      <w:r w:rsidRPr="00953CEF">
        <w:rPr>
          <w:sz w:val="22"/>
          <w:szCs w:val="22"/>
        </w:rPr>
        <w:t>Medi-Cal or Covered CA</w:t>
      </w:r>
      <w:r>
        <w:rPr>
          <w:sz w:val="22"/>
          <w:szCs w:val="22"/>
        </w:rPr>
        <w:t xml:space="preserve"> for a</w:t>
      </w:r>
      <w:r w:rsidR="004156B7" w:rsidRPr="00953CEF">
        <w:rPr>
          <w:sz w:val="22"/>
          <w:szCs w:val="22"/>
        </w:rPr>
        <w:t xml:space="preserve">pproximately 60 to 80 percent due to immigration status. </w:t>
      </w:r>
    </w:p>
    <w:p w:rsidR="004156B7" w:rsidRPr="00953CEF" w:rsidRDefault="00EF1B64" w:rsidP="00991413">
      <w:pPr>
        <w:pStyle w:val="ListParagraph"/>
        <w:numPr>
          <w:ilvl w:val="0"/>
          <w:numId w:val="3"/>
        </w:numPr>
        <w:rPr>
          <w:sz w:val="22"/>
          <w:szCs w:val="22"/>
        </w:rPr>
      </w:pPr>
      <w:r w:rsidRPr="00953CEF">
        <w:rPr>
          <w:sz w:val="22"/>
          <w:szCs w:val="22"/>
        </w:rPr>
        <w:t xml:space="preserve">County services and </w:t>
      </w:r>
      <w:r w:rsidR="00991413" w:rsidRPr="00953CEF">
        <w:rPr>
          <w:sz w:val="22"/>
          <w:szCs w:val="22"/>
        </w:rPr>
        <w:t>coverage for undocumented is very limited in agricultural counties.</w:t>
      </w:r>
      <w:r w:rsidR="00454603" w:rsidRPr="00953CEF">
        <w:rPr>
          <w:sz w:val="22"/>
          <w:szCs w:val="22"/>
        </w:rPr>
        <w:t xml:space="preserve"> Only two of the top 10 California counties with the highest concentration of farmworkers cover undocumented persons, and one of them, Fresno, is seeking court permission to stop serving the undocumented. </w:t>
      </w:r>
    </w:p>
    <w:p w:rsidR="00991413" w:rsidRPr="00953CEF" w:rsidRDefault="00991413" w:rsidP="004156B7">
      <w:pPr>
        <w:rPr>
          <w:sz w:val="22"/>
          <w:szCs w:val="22"/>
        </w:rPr>
      </w:pPr>
    </w:p>
    <w:p w:rsidR="00991413" w:rsidRPr="00953CEF" w:rsidRDefault="00991413" w:rsidP="004156B7">
      <w:pPr>
        <w:rPr>
          <w:sz w:val="22"/>
          <w:szCs w:val="22"/>
        </w:rPr>
      </w:pPr>
      <w:r w:rsidRPr="00953CEF">
        <w:rPr>
          <w:b/>
          <w:sz w:val="22"/>
          <w:szCs w:val="22"/>
        </w:rPr>
        <w:t>IV. Possible solutions</w:t>
      </w:r>
    </w:p>
    <w:p w:rsidR="00991413" w:rsidRPr="00953CEF" w:rsidRDefault="002D4AA0" w:rsidP="00991413">
      <w:pPr>
        <w:pStyle w:val="ListParagraph"/>
        <w:numPr>
          <w:ilvl w:val="0"/>
          <w:numId w:val="4"/>
        </w:numPr>
        <w:rPr>
          <w:sz w:val="22"/>
          <w:szCs w:val="22"/>
        </w:rPr>
      </w:pPr>
      <w:r w:rsidRPr="00953CEF">
        <w:rPr>
          <w:sz w:val="22"/>
          <w:szCs w:val="22"/>
        </w:rPr>
        <w:t xml:space="preserve">Create coverage vehicle that maximizes </w:t>
      </w:r>
      <w:r w:rsidR="00991413" w:rsidRPr="00953CEF">
        <w:rPr>
          <w:sz w:val="22"/>
          <w:szCs w:val="22"/>
        </w:rPr>
        <w:t xml:space="preserve">employer contributions while providing coverage in off season </w:t>
      </w:r>
      <w:r w:rsidRPr="00953CEF">
        <w:rPr>
          <w:sz w:val="22"/>
          <w:szCs w:val="22"/>
        </w:rPr>
        <w:t xml:space="preserve">and allows aggregation of multiple </w:t>
      </w:r>
      <w:r w:rsidR="00991413" w:rsidRPr="00953CEF">
        <w:rPr>
          <w:sz w:val="22"/>
          <w:szCs w:val="22"/>
        </w:rPr>
        <w:t>employer contributions.</w:t>
      </w:r>
    </w:p>
    <w:p w:rsidR="00991413" w:rsidRPr="00953CEF" w:rsidRDefault="00991413" w:rsidP="00991413">
      <w:pPr>
        <w:pStyle w:val="ListParagraph"/>
        <w:numPr>
          <w:ilvl w:val="0"/>
          <w:numId w:val="4"/>
        </w:numPr>
        <w:rPr>
          <w:sz w:val="22"/>
          <w:szCs w:val="22"/>
        </w:rPr>
      </w:pPr>
      <w:r w:rsidRPr="00953CEF">
        <w:rPr>
          <w:sz w:val="22"/>
          <w:szCs w:val="22"/>
        </w:rPr>
        <w:t>Expanded public benefits for undocumented workers in California (e.g. Lara proposal).</w:t>
      </w:r>
    </w:p>
    <w:p w:rsidR="00991413" w:rsidRPr="00953CEF" w:rsidRDefault="00991413" w:rsidP="00991413">
      <w:pPr>
        <w:pStyle w:val="ListParagraph"/>
        <w:numPr>
          <w:ilvl w:val="0"/>
          <w:numId w:val="4"/>
        </w:numPr>
        <w:rPr>
          <w:sz w:val="22"/>
          <w:szCs w:val="22"/>
        </w:rPr>
      </w:pPr>
      <w:r w:rsidRPr="00953CEF">
        <w:rPr>
          <w:sz w:val="22"/>
          <w:szCs w:val="22"/>
        </w:rPr>
        <w:t xml:space="preserve">Increased flexibility for </w:t>
      </w:r>
      <w:r w:rsidR="002D4AA0" w:rsidRPr="00953CEF">
        <w:rPr>
          <w:sz w:val="22"/>
          <w:szCs w:val="22"/>
        </w:rPr>
        <w:t xml:space="preserve">existing </w:t>
      </w:r>
      <w:r w:rsidRPr="00953CEF">
        <w:rPr>
          <w:sz w:val="22"/>
          <w:szCs w:val="22"/>
        </w:rPr>
        <w:t xml:space="preserve">ag plans to </w:t>
      </w:r>
      <w:r w:rsidR="00953CEF">
        <w:rPr>
          <w:sz w:val="22"/>
          <w:szCs w:val="22"/>
        </w:rPr>
        <w:t xml:space="preserve">restructure </w:t>
      </w:r>
      <w:r w:rsidRPr="00953CEF">
        <w:rPr>
          <w:sz w:val="22"/>
          <w:szCs w:val="22"/>
        </w:rPr>
        <w:t>benefits and enroll from multiple employers.</w:t>
      </w:r>
    </w:p>
    <w:p w:rsidR="00991413" w:rsidRPr="00953CEF" w:rsidRDefault="00991413" w:rsidP="00991413">
      <w:pPr>
        <w:pStyle w:val="ListParagraph"/>
        <w:numPr>
          <w:ilvl w:val="0"/>
          <w:numId w:val="4"/>
        </w:numPr>
        <w:rPr>
          <w:sz w:val="22"/>
          <w:szCs w:val="22"/>
        </w:rPr>
      </w:pPr>
      <w:r w:rsidRPr="00953CEF">
        <w:rPr>
          <w:sz w:val="22"/>
          <w:szCs w:val="22"/>
        </w:rPr>
        <w:t xml:space="preserve">Increased funding for safety net clinics to provide care. </w:t>
      </w:r>
    </w:p>
    <w:p w:rsidR="00991413" w:rsidRPr="00953CEF" w:rsidRDefault="00991413" w:rsidP="00991413">
      <w:pPr>
        <w:pStyle w:val="ListParagraph"/>
        <w:numPr>
          <w:ilvl w:val="0"/>
          <w:numId w:val="4"/>
        </w:numPr>
        <w:rPr>
          <w:sz w:val="22"/>
          <w:szCs w:val="22"/>
        </w:rPr>
      </w:pPr>
      <w:r w:rsidRPr="00953CEF">
        <w:rPr>
          <w:sz w:val="22"/>
          <w:szCs w:val="22"/>
        </w:rPr>
        <w:t>Trust fund for employer and philanthropic contributions (e.g. AB175).</w:t>
      </w:r>
    </w:p>
    <w:p w:rsidR="0051507D" w:rsidRPr="004B1A1F" w:rsidRDefault="00991413" w:rsidP="0051507D">
      <w:pPr>
        <w:pStyle w:val="ListParagraph"/>
        <w:numPr>
          <w:ilvl w:val="0"/>
          <w:numId w:val="4"/>
        </w:numPr>
        <w:rPr>
          <w:sz w:val="22"/>
          <w:szCs w:val="22"/>
        </w:rPr>
      </w:pPr>
      <w:r w:rsidRPr="004B1A1F">
        <w:rPr>
          <w:sz w:val="22"/>
          <w:szCs w:val="22"/>
        </w:rPr>
        <w:t>Immigration reform to provide pathway to legalization and access to benefits.</w:t>
      </w:r>
      <w:bookmarkStart w:id="0" w:name="_GoBack"/>
      <w:bookmarkEnd w:id="0"/>
    </w:p>
    <w:sectPr w:rsidR="0051507D" w:rsidRPr="004B1A1F" w:rsidSect="005A1E6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D6" w:rsidRDefault="00D25FD6" w:rsidP="007F741B">
      <w:r>
        <w:separator/>
      </w:r>
    </w:p>
  </w:endnote>
  <w:endnote w:type="continuationSeparator" w:id="0">
    <w:p w:rsidR="00D25FD6" w:rsidRDefault="00D25FD6" w:rsidP="007F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1B" w:rsidRDefault="007F741B">
    <w:pPr>
      <w:pStyle w:val="Footer"/>
    </w:pPr>
    <w:r w:rsidRPr="007F741B">
      <w:rPr>
        <w:noProof/>
      </w:rPr>
      <w:drawing>
        <wp:inline distT="0" distB="0" distL="0" distR="0" wp14:anchorId="5DFEDCD1" wp14:editId="156A13AF">
          <wp:extent cx="966751" cy="717550"/>
          <wp:effectExtent l="0" t="0" r="0" b="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p;A Logo 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4462" cy="723273"/>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743D566A" wp14:editId="70290AE7">
          <wp:extent cx="2350895" cy="679450"/>
          <wp:effectExtent l="0" t="0" r="0" b="0"/>
          <wp:docPr id="4" name="Picture 1" descr="http://www.calendow.org/resources/resources/TCE_Stacked/tce_stacked_yellow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lendow.org/resources/resources/TCE_Stacked/tce_stacked_yellow_blue.jpg"/>
                  <pic:cNvPicPr>
                    <a:picLocks noChangeAspect="1" noChangeArrowheads="1"/>
                  </pic:cNvPicPr>
                </pic:nvPicPr>
                <pic:blipFill>
                  <a:blip r:embed="rId2"/>
                  <a:srcRect/>
                  <a:stretch>
                    <a:fillRect/>
                  </a:stretch>
                </pic:blipFill>
                <pic:spPr bwMode="auto">
                  <a:xfrm>
                    <a:off x="0" y="0"/>
                    <a:ext cx="2352631" cy="6799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D6" w:rsidRDefault="00D25FD6" w:rsidP="007F741B">
      <w:r>
        <w:separator/>
      </w:r>
    </w:p>
  </w:footnote>
  <w:footnote w:type="continuationSeparator" w:id="0">
    <w:p w:rsidR="00D25FD6" w:rsidRDefault="00D25FD6" w:rsidP="007F7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6754"/>
    <w:multiLevelType w:val="hybridMultilevel"/>
    <w:tmpl w:val="98B02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4A0841"/>
    <w:multiLevelType w:val="hybridMultilevel"/>
    <w:tmpl w:val="95BA9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077D00"/>
    <w:multiLevelType w:val="hybridMultilevel"/>
    <w:tmpl w:val="8A206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2F5D11"/>
    <w:multiLevelType w:val="hybridMultilevel"/>
    <w:tmpl w:val="3A008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A177E8"/>
    <w:rsid w:val="00041E82"/>
    <w:rsid w:val="0009299F"/>
    <w:rsid w:val="00095FA5"/>
    <w:rsid w:val="00100590"/>
    <w:rsid w:val="00146BAF"/>
    <w:rsid w:val="001537C6"/>
    <w:rsid w:val="001F535C"/>
    <w:rsid w:val="001F7E8D"/>
    <w:rsid w:val="002148E8"/>
    <w:rsid w:val="002432B8"/>
    <w:rsid w:val="00270636"/>
    <w:rsid w:val="002A4C2A"/>
    <w:rsid w:val="002A7F90"/>
    <w:rsid w:val="002D4AA0"/>
    <w:rsid w:val="0036155D"/>
    <w:rsid w:val="00361598"/>
    <w:rsid w:val="00367A75"/>
    <w:rsid w:val="003C19FA"/>
    <w:rsid w:val="003F2729"/>
    <w:rsid w:val="003F4D3E"/>
    <w:rsid w:val="0040045D"/>
    <w:rsid w:val="004156B7"/>
    <w:rsid w:val="00417A78"/>
    <w:rsid w:val="00421858"/>
    <w:rsid w:val="00454603"/>
    <w:rsid w:val="004725EC"/>
    <w:rsid w:val="004778F4"/>
    <w:rsid w:val="00486312"/>
    <w:rsid w:val="004957C6"/>
    <w:rsid w:val="004B1A1F"/>
    <w:rsid w:val="004B671F"/>
    <w:rsid w:val="004C4C50"/>
    <w:rsid w:val="0051507D"/>
    <w:rsid w:val="00553F68"/>
    <w:rsid w:val="00554BFB"/>
    <w:rsid w:val="005662E8"/>
    <w:rsid w:val="00570B95"/>
    <w:rsid w:val="00572F6A"/>
    <w:rsid w:val="005A1E6C"/>
    <w:rsid w:val="005C3BAE"/>
    <w:rsid w:val="005D51CB"/>
    <w:rsid w:val="006366F8"/>
    <w:rsid w:val="00674BD2"/>
    <w:rsid w:val="006B3853"/>
    <w:rsid w:val="006F1242"/>
    <w:rsid w:val="0071282E"/>
    <w:rsid w:val="00734046"/>
    <w:rsid w:val="0074165E"/>
    <w:rsid w:val="007520CD"/>
    <w:rsid w:val="00752E6D"/>
    <w:rsid w:val="007545C4"/>
    <w:rsid w:val="00787897"/>
    <w:rsid w:val="007F741B"/>
    <w:rsid w:val="00825D45"/>
    <w:rsid w:val="008E1511"/>
    <w:rsid w:val="00953CEF"/>
    <w:rsid w:val="009556E5"/>
    <w:rsid w:val="00957096"/>
    <w:rsid w:val="00962E40"/>
    <w:rsid w:val="00991413"/>
    <w:rsid w:val="009E21A5"/>
    <w:rsid w:val="00A177E8"/>
    <w:rsid w:val="00A60B48"/>
    <w:rsid w:val="00A6542C"/>
    <w:rsid w:val="00A9530B"/>
    <w:rsid w:val="00AA681E"/>
    <w:rsid w:val="00AB6B8B"/>
    <w:rsid w:val="00AE7F35"/>
    <w:rsid w:val="00B05F74"/>
    <w:rsid w:val="00B40080"/>
    <w:rsid w:val="00B56C97"/>
    <w:rsid w:val="00B63D36"/>
    <w:rsid w:val="00BC3D93"/>
    <w:rsid w:val="00BF5975"/>
    <w:rsid w:val="00C2437D"/>
    <w:rsid w:val="00D00EF2"/>
    <w:rsid w:val="00D24D2A"/>
    <w:rsid w:val="00D25FD6"/>
    <w:rsid w:val="00D41968"/>
    <w:rsid w:val="00D4795A"/>
    <w:rsid w:val="00D84331"/>
    <w:rsid w:val="00D91EA8"/>
    <w:rsid w:val="00DC74CA"/>
    <w:rsid w:val="00DF628F"/>
    <w:rsid w:val="00E13647"/>
    <w:rsid w:val="00E16BB4"/>
    <w:rsid w:val="00E42ECC"/>
    <w:rsid w:val="00EA7164"/>
    <w:rsid w:val="00EC52A6"/>
    <w:rsid w:val="00EF1B64"/>
    <w:rsid w:val="00F7581C"/>
    <w:rsid w:val="00FB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EA8"/>
    <w:rPr>
      <w:rFonts w:ascii="Gill Sans MT" w:hAnsi="Gill Sans MT"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34046"/>
    <w:pPr>
      <w:framePr w:w="7920" w:h="1980" w:hRule="exact" w:hSpace="180" w:wrap="auto" w:hAnchor="page" w:xAlign="center" w:yAlign="bottom"/>
      <w:ind w:left="2880"/>
    </w:pPr>
    <w:rPr>
      <w:rFonts w:ascii="Arial" w:hAnsi="Arial"/>
    </w:rPr>
  </w:style>
  <w:style w:type="paragraph" w:styleId="EnvelopeReturn">
    <w:name w:val="envelope return"/>
    <w:basedOn w:val="Normal"/>
    <w:rsid w:val="00734046"/>
    <w:rPr>
      <w:rFonts w:ascii="Arial" w:hAnsi="Arial"/>
      <w:sz w:val="20"/>
      <w:szCs w:val="20"/>
    </w:rPr>
  </w:style>
  <w:style w:type="paragraph" w:styleId="BalloonText">
    <w:name w:val="Balloon Text"/>
    <w:basedOn w:val="Normal"/>
    <w:link w:val="BalloonTextChar"/>
    <w:rsid w:val="003F4D3E"/>
    <w:rPr>
      <w:rFonts w:ascii="Tahoma" w:hAnsi="Tahoma" w:cs="Tahoma"/>
      <w:sz w:val="16"/>
      <w:szCs w:val="16"/>
    </w:rPr>
  </w:style>
  <w:style w:type="character" w:customStyle="1" w:styleId="BalloonTextChar">
    <w:name w:val="Balloon Text Char"/>
    <w:basedOn w:val="DefaultParagraphFont"/>
    <w:link w:val="BalloonText"/>
    <w:rsid w:val="003F4D3E"/>
    <w:rPr>
      <w:rFonts w:ascii="Tahoma" w:hAnsi="Tahoma" w:cs="Tahoma"/>
      <w:sz w:val="16"/>
      <w:szCs w:val="16"/>
    </w:rPr>
  </w:style>
  <w:style w:type="paragraph" w:styleId="Header">
    <w:name w:val="header"/>
    <w:basedOn w:val="Normal"/>
    <w:link w:val="HeaderChar"/>
    <w:rsid w:val="007F741B"/>
    <w:pPr>
      <w:tabs>
        <w:tab w:val="center" w:pos="4680"/>
        <w:tab w:val="right" w:pos="9360"/>
      </w:tabs>
    </w:pPr>
  </w:style>
  <w:style w:type="character" w:customStyle="1" w:styleId="HeaderChar">
    <w:name w:val="Header Char"/>
    <w:basedOn w:val="DefaultParagraphFont"/>
    <w:link w:val="Header"/>
    <w:rsid w:val="007F741B"/>
    <w:rPr>
      <w:rFonts w:ascii="Gill Sans MT" w:hAnsi="Gill Sans MT" w:cs="Arial"/>
      <w:sz w:val="24"/>
      <w:szCs w:val="24"/>
    </w:rPr>
  </w:style>
  <w:style w:type="paragraph" w:styleId="Footer">
    <w:name w:val="footer"/>
    <w:basedOn w:val="Normal"/>
    <w:link w:val="FooterChar"/>
    <w:rsid w:val="007F741B"/>
    <w:pPr>
      <w:tabs>
        <w:tab w:val="center" w:pos="4680"/>
        <w:tab w:val="right" w:pos="9360"/>
      </w:tabs>
    </w:pPr>
  </w:style>
  <w:style w:type="character" w:customStyle="1" w:styleId="FooterChar">
    <w:name w:val="Footer Char"/>
    <w:basedOn w:val="DefaultParagraphFont"/>
    <w:link w:val="Footer"/>
    <w:rsid w:val="007F741B"/>
    <w:rPr>
      <w:rFonts w:ascii="Gill Sans MT" w:hAnsi="Gill Sans MT" w:cs="Arial"/>
      <w:sz w:val="24"/>
      <w:szCs w:val="24"/>
    </w:rPr>
  </w:style>
  <w:style w:type="paragraph" w:styleId="ListParagraph">
    <w:name w:val="List Paragraph"/>
    <w:basedOn w:val="Normal"/>
    <w:uiPriority w:val="34"/>
    <w:qFormat/>
    <w:rsid w:val="00EF1B64"/>
    <w:pPr>
      <w:ind w:left="720"/>
      <w:contextualSpacing/>
    </w:pPr>
  </w:style>
  <w:style w:type="character" w:styleId="Hyperlink">
    <w:name w:val="Hyperlink"/>
    <w:basedOn w:val="DefaultParagraphFont"/>
    <w:rsid w:val="005150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55D04-784D-42F6-816C-3E91D3CD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438</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Diringer and Associates</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D.</dc:creator>
  <cp:lastModifiedBy>Joel Diringer</cp:lastModifiedBy>
  <cp:revision>16</cp:revision>
  <cp:lastPrinted>2014-02-10T03:04:00Z</cp:lastPrinted>
  <dcterms:created xsi:type="dcterms:W3CDTF">2014-02-07T18:02:00Z</dcterms:created>
  <dcterms:modified xsi:type="dcterms:W3CDTF">2014-02-10T03:05:00Z</dcterms:modified>
</cp:coreProperties>
</file>